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3DAD0F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drawing>
          <wp:inline distT="0" distB="0" distL="114300" distR="114300" wp14:anchorId="065E34F5" wp14:editId="672258AB">
            <wp:extent cx="5272405" cy="2931795"/>
            <wp:effectExtent l="0" t="0" r="635" b="9525"/>
            <wp:docPr id="1" name="Picture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Figure S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4FFC7" w14:textId="77777777" w:rsidR="005622CF" w:rsidRPr="009D7F10" w:rsidRDefault="00000000">
      <w:pPr>
        <w:jc w:val="left"/>
        <w:rPr>
          <w:rFonts w:ascii="Minion Pro" w:hAnsi="Minion Pro" w:cs="Times New Roman"/>
          <w:b/>
          <w:spacing w:val="5"/>
          <w:kern w:val="0"/>
          <w:sz w:val="22"/>
        </w:rPr>
      </w:pPr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Figure S1. </w:t>
      </w:r>
      <w:r w:rsidRPr="009D7F10">
        <w:rPr>
          <w:rFonts w:ascii="Minion Pro" w:eastAsia="宋体" w:hAnsi="Minion Pro" w:cs="Times New Roman"/>
          <w:bCs/>
          <w:spacing w:val="5"/>
          <w:kern w:val="0"/>
          <w:sz w:val="22"/>
          <w:lang w:bidi="ar"/>
        </w:rPr>
        <w:t>The relationship between Drp1 and EMT-related proteins was detected in excised liver cancer specimens.</w:t>
      </w:r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 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(A-D) IHC analysis of the 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Drp1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, N-Cadherin, E-Cadherin, and Vimentin in the control group and the Sh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Drp1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group. **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&lt;0.01, ***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&lt;0.001 (all 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values were obtained by two-sided Student’s 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 xml:space="preserve">t 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test). (E) Representative images of immunohistochemical staining of Drp1 and EMT-related genes. Scale bar: 100 </w:t>
      </w:r>
      <w:proofErr w:type="spellStart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μm</w:t>
      </w:r>
      <w:proofErr w:type="spellEnd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.</w:t>
      </w:r>
    </w:p>
    <w:p w14:paraId="16753B47" w14:textId="77777777" w:rsidR="005622CF" w:rsidRPr="009D7F10" w:rsidRDefault="005622CF">
      <w:pPr>
        <w:jc w:val="left"/>
        <w:rPr>
          <w:rFonts w:ascii="Minion Pro" w:hAnsi="Minion Pro" w:cs="Times New Roman"/>
          <w:sz w:val="22"/>
        </w:rPr>
      </w:pPr>
    </w:p>
    <w:p w14:paraId="2A6FDF4C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drawing>
          <wp:inline distT="0" distB="0" distL="114300" distR="114300" wp14:anchorId="2BB084C5" wp14:editId="2DE23B94">
            <wp:extent cx="4883150" cy="2444115"/>
            <wp:effectExtent l="0" t="0" r="6985" b="6350"/>
            <wp:docPr id="5" name="图片 5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 S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62B8C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b/>
          <w:bCs/>
          <w:sz w:val="22"/>
        </w:rPr>
        <w:t>Figure S2.</w:t>
      </w:r>
      <w:r w:rsidRPr="009D7F10">
        <w:rPr>
          <w:rFonts w:ascii="Minion Pro" w:hAnsi="Minion Pro" w:cs="Times New Roman"/>
          <w:sz w:val="22"/>
        </w:rPr>
        <w:t xml:space="preserve"> Western blotting showed the levels of p-Drp1ser616 and Drp1 in each group.</w:t>
      </w:r>
    </w:p>
    <w:p w14:paraId="53515188" w14:textId="77777777" w:rsidR="005622CF" w:rsidRPr="009D7F10" w:rsidRDefault="005622CF">
      <w:pPr>
        <w:jc w:val="left"/>
        <w:rPr>
          <w:rFonts w:ascii="Minion Pro" w:hAnsi="Minion Pro" w:cs="Times New Roman"/>
          <w:sz w:val="22"/>
        </w:rPr>
      </w:pPr>
    </w:p>
    <w:p w14:paraId="71B1A6AB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lastRenderedPageBreak/>
        <w:drawing>
          <wp:inline distT="0" distB="0" distL="114300" distR="114300" wp14:anchorId="5B147794" wp14:editId="3B3C484D">
            <wp:extent cx="4678680" cy="2520950"/>
            <wp:effectExtent l="0" t="0" r="0" b="8890"/>
            <wp:docPr id="2" name="Picture 2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Figure S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3ED46" w14:textId="77777777" w:rsidR="005622CF" w:rsidRPr="009D7F10" w:rsidRDefault="005622CF">
      <w:pPr>
        <w:jc w:val="left"/>
        <w:rPr>
          <w:rFonts w:ascii="Minion Pro" w:hAnsi="Minion Pro" w:cs="Times New Roman"/>
          <w:sz w:val="22"/>
        </w:rPr>
      </w:pPr>
    </w:p>
    <w:p w14:paraId="79C279B5" w14:textId="77777777" w:rsidR="005622CF" w:rsidRPr="009D7F10" w:rsidRDefault="00000000">
      <w:pPr>
        <w:jc w:val="left"/>
        <w:rPr>
          <w:rStyle w:val="CommentReference"/>
          <w:rFonts w:ascii="Minion Pro" w:hAnsi="Minion Pro" w:cs="Times New Roman"/>
          <w:sz w:val="22"/>
        </w:rPr>
      </w:pPr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Figure S3. </w:t>
      </w:r>
      <w:r w:rsidRPr="009D7F10">
        <w:rPr>
          <w:rFonts w:ascii="Minion Pro" w:eastAsia="宋体" w:hAnsi="Minion Pro" w:cs="Times New Roman"/>
          <w:bCs/>
          <w:spacing w:val="5"/>
          <w:kern w:val="0"/>
          <w:sz w:val="22"/>
          <w:lang w:bidi="ar"/>
        </w:rPr>
        <w:t>Flow cytometry was used to analyze the apoptotic rate of sorafenib-resistant liver cancer cell lines in each group.</w:t>
      </w:r>
      <w:r w:rsidRPr="009D7F10">
        <w:rPr>
          <w:rFonts w:ascii="Minion Pro" w:hAnsi="Minion Pro" w:cs="Times New Roman"/>
          <w:b/>
          <w:spacing w:val="5"/>
          <w:kern w:val="0"/>
          <w:sz w:val="22"/>
        </w:rPr>
        <w:t xml:space="preserve"> 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(A-B) Cell apoptosis was measured by the flow cytometric detection of Annexin V/PI. Data are presented as the means ± SEM (n=3/group). </w:t>
      </w:r>
      <w:proofErr w:type="spellStart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n.s</w:t>
      </w:r>
      <w:proofErr w:type="spellEnd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., no significance.</w:t>
      </w:r>
    </w:p>
    <w:p w14:paraId="34C40872" w14:textId="77777777" w:rsidR="005622CF" w:rsidRPr="009D7F10" w:rsidRDefault="005622CF">
      <w:pPr>
        <w:jc w:val="left"/>
        <w:rPr>
          <w:rStyle w:val="CommentReference"/>
          <w:rFonts w:ascii="Minion Pro" w:hAnsi="Minion Pro" w:cs="Times New Roman"/>
          <w:sz w:val="22"/>
        </w:rPr>
      </w:pPr>
    </w:p>
    <w:p w14:paraId="5F84C246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drawing>
          <wp:inline distT="0" distB="0" distL="114300" distR="114300" wp14:anchorId="12AE7C28" wp14:editId="4ADDB743">
            <wp:extent cx="5268595" cy="4516755"/>
            <wp:effectExtent l="0" t="0" r="4445" b="9525"/>
            <wp:docPr id="3" name="Picture 3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Figure S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51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DCE80" w14:textId="77777777" w:rsidR="005622CF" w:rsidRPr="009D7F10" w:rsidRDefault="00000000">
      <w:pPr>
        <w:jc w:val="left"/>
        <w:rPr>
          <w:rFonts w:ascii="Minion Pro" w:eastAsia="宋体" w:hAnsi="Minion Pro" w:cs="Times New Roman"/>
          <w:spacing w:val="5"/>
          <w:kern w:val="0"/>
          <w:sz w:val="22"/>
          <w:lang w:bidi="ar"/>
        </w:rPr>
      </w:pPr>
      <w:bookmarkStart w:id="0" w:name="_Hlk515703651"/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Figure S4. </w:t>
      </w:r>
      <w:r w:rsidRPr="009D7F10">
        <w:rPr>
          <w:rFonts w:ascii="Minion Pro" w:eastAsia="宋体" w:hAnsi="Minion Pro" w:cs="Times New Roman"/>
          <w:bCs/>
          <w:spacing w:val="5"/>
          <w:kern w:val="0"/>
          <w:sz w:val="22"/>
          <w:lang w:bidi="ar"/>
        </w:rPr>
        <w:t>Analysis of EMT-related gene expression, ATP levels and mitochondrial function in each group.</w:t>
      </w:r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 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(A) The mRNA levels of EMT-related genes (including N-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lastRenderedPageBreak/>
        <w:t xml:space="preserve">cadherin, E-cadherin, ZO-1 and Vimentin) in each group were detected by RT-qPCR. Data are presented as the means ± SEM (n=3/group). (B-D) The level of ATP content (B), mitochondrial membrane potential (C) and </w:t>
      </w:r>
      <w:proofErr w:type="spellStart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mtDNA</w:t>
      </w:r>
      <w:proofErr w:type="spellEnd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copy number (D) in Huh7-SR cells in each group was detected. Data are presented as the means ± SEM (n=3/group). </w:t>
      </w:r>
      <w:proofErr w:type="spellStart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n.s</w:t>
      </w:r>
      <w:proofErr w:type="spellEnd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., no significance, *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&lt;0.05, **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&lt;0.01, ***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&lt;0.001 (all 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values were obtained by two-sided Student’s</w:t>
      </w:r>
      <w:r w:rsidRPr="009D7F10">
        <w:rPr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 xml:space="preserve"> t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test).</w:t>
      </w:r>
    </w:p>
    <w:p w14:paraId="2987BA86" w14:textId="77777777" w:rsidR="005622CF" w:rsidRPr="009D7F10" w:rsidRDefault="005622CF">
      <w:pPr>
        <w:jc w:val="left"/>
        <w:rPr>
          <w:rFonts w:ascii="Minion Pro" w:eastAsia="宋体" w:hAnsi="Minion Pro" w:cs="Times New Roman"/>
          <w:spacing w:val="5"/>
          <w:kern w:val="0"/>
          <w:sz w:val="22"/>
          <w:lang w:bidi="ar"/>
        </w:rPr>
      </w:pPr>
    </w:p>
    <w:bookmarkEnd w:id="0"/>
    <w:p w14:paraId="570B7F19" w14:textId="77777777" w:rsidR="005622CF" w:rsidRPr="009D7F10" w:rsidRDefault="00000000">
      <w:pPr>
        <w:jc w:val="center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drawing>
          <wp:inline distT="0" distB="0" distL="114300" distR="114300" wp14:anchorId="36CC700A" wp14:editId="5BF2FC48">
            <wp:extent cx="4514215" cy="6021705"/>
            <wp:effectExtent l="0" t="0" r="12065" b="13335"/>
            <wp:docPr id="4" name="图片 4" descr="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 S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4215" cy="602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B972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b/>
          <w:bCs/>
          <w:sz w:val="22"/>
        </w:rPr>
        <w:t>Figure S5</w:t>
      </w:r>
      <w:r w:rsidRPr="009D7F10">
        <w:rPr>
          <w:rFonts w:ascii="Minion Pro" w:hAnsi="Minion Pro" w:cs="Times New Roman"/>
          <w:sz w:val="22"/>
        </w:rPr>
        <w:t xml:space="preserve">: Safety evaluation of combination treatment in mice. (A) Representative H&amp;E staining of the liver, kidney, heart, and lung sections from mice treated with </w:t>
      </w:r>
      <w:proofErr w:type="spellStart"/>
      <w:r w:rsidRPr="009D7F10">
        <w:rPr>
          <w:rFonts w:ascii="Minion Pro" w:hAnsi="Minion Pro" w:cs="Times New Roman"/>
          <w:sz w:val="22"/>
        </w:rPr>
        <w:t>pevonedistat</w:t>
      </w:r>
      <w:proofErr w:type="spellEnd"/>
      <w:r w:rsidRPr="009D7F10">
        <w:rPr>
          <w:rFonts w:ascii="Minion Pro" w:hAnsi="Minion Pro" w:cs="Times New Roman"/>
          <w:sz w:val="22"/>
        </w:rPr>
        <w:t xml:space="preserve"> or vehicle control. Scale bar = 50 </w:t>
      </w:r>
      <w:proofErr w:type="spellStart"/>
      <w:r w:rsidRPr="009D7F10">
        <w:rPr>
          <w:rFonts w:ascii="Minion Pro" w:hAnsi="Minion Pro" w:cs="Times New Roman"/>
          <w:sz w:val="22"/>
        </w:rPr>
        <w:t>μm</w:t>
      </w:r>
      <w:proofErr w:type="spellEnd"/>
      <w:r w:rsidRPr="009D7F10">
        <w:rPr>
          <w:rFonts w:ascii="Minion Pro" w:hAnsi="Minion Pro" w:cs="Times New Roman"/>
          <w:sz w:val="22"/>
        </w:rPr>
        <w:t xml:space="preserve">. (B) Serum levels of alanine aminotransferase (ALT), aspartate aminotransferase (AST), creatine kinase (CK), and urea in mice treated with </w:t>
      </w:r>
      <w:proofErr w:type="spellStart"/>
      <w:r w:rsidRPr="009D7F10">
        <w:rPr>
          <w:rFonts w:ascii="Minion Pro" w:hAnsi="Minion Pro" w:cs="Times New Roman"/>
          <w:sz w:val="22"/>
        </w:rPr>
        <w:t>pevonedistat</w:t>
      </w:r>
      <w:proofErr w:type="spellEnd"/>
      <w:r w:rsidRPr="009D7F10">
        <w:rPr>
          <w:rFonts w:ascii="Minion Pro" w:hAnsi="Minion Pro" w:cs="Times New Roman"/>
          <w:sz w:val="22"/>
        </w:rPr>
        <w:t xml:space="preserve"> compared to vehicle control. Data are presented as mean ± SD (n = 5 per group). Statistical significance was determined by a two-tailed Student’s </w:t>
      </w:r>
      <w:r w:rsidRPr="009D7F10">
        <w:rPr>
          <w:rFonts w:ascii="Minion Pro" w:hAnsi="Minion Pro" w:cs="Times New Roman"/>
          <w:i/>
          <w:iCs/>
          <w:sz w:val="22"/>
        </w:rPr>
        <w:t>t</w:t>
      </w:r>
      <w:r w:rsidRPr="009D7F10">
        <w:rPr>
          <w:rFonts w:ascii="Minion Pro" w:hAnsi="Minion Pro" w:cs="Times New Roman"/>
          <w:sz w:val="22"/>
        </w:rPr>
        <w:t>-test or one-way ANOVA.</w:t>
      </w:r>
    </w:p>
    <w:p w14:paraId="7C3242AC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sz w:val="22"/>
        </w:rPr>
        <w:lastRenderedPageBreak/>
        <w:t xml:space="preserve"> </w:t>
      </w:r>
    </w:p>
    <w:p w14:paraId="2F34AEDB" w14:textId="77777777" w:rsidR="005622CF" w:rsidRPr="009D7F10" w:rsidRDefault="00000000">
      <w:pPr>
        <w:jc w:val="left"/>
        <w:rPr>
          <w:rFonts w:ascii="Minion Pro" w:hAnsi="Minion Pro" w:cs="Times New Roman"/>
          <w:sz w:val="22"/>
        </w:rPr>
      </w:pPr>
      <w:r w:rsidRPr="009D7F10">
        <w:rPr>
          <w:rFonts w:ascii="Minion Pro" w:hAnsi="Minion Pro" w:cs="Times New Roman"/>
          <w:noProof/>
          <w:sz w:val="22"/>
        </w:rPr>
        <w:drawing>
          <wp:inline distT="0" distB="0" distL="114300" distR="114300" wp14:anchorId="13C54F65" wp14:editId="13838520">
            <wp:extent cx="5267960" cy="1656080"/>
            <wp:effectExtent l="0" t="0" r="5080" b="5080"/>
            <wp:docPr id="6" name="Picture 6" descr="Figure 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Figure S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5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4D078" w14:textId="77777777" w:rsidR="005622CF" w:rsidRPr="009D7F10" w:rsidRDefault="00000000">
      <w:pPr>
        <w:jc w:val="left"/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</w:pPr>
      <w:r w:rsidRPr="009D7F10">
        <w:rPr>
          <w:rFonts w:ascii="Minion Pro" w:eastAsia="宋体" w:hAnsi="Minion Pro" w:cs="Times New Roman"/>
          <w:b/>
          <w:spacing w:val="5"/>
          <w:kern w:val="0"/>
          <w:sz w:val="22"/>
          <w:lang w:bidi="ar"/>
        </w:rPr>
        <w:t xml:space="preserve">Figure S6: </w:t>
      </w:r>
      <w:r w:rsidRPr="009D7F10">
        <w:rPr>
          <w:rFonts w:ascii="Minion Pro" w:eastAsia="宋体" w:hAnsi="Minion Pro" w:cs="Times New Roman"/>
          <w:bCs/>
          <w:spacing w:val="5"/>
          <w:kern w:val="0"/>
          <w:sz w:val="22"/>
          <w:lang w:bidi="ar"/>
        </w:rPr>
        <w:t>Ki67 proliferation and EMT marker expression in each group.</w:t>
      </w:r>
      <w:r w:rsidRPr="009D7F10">
        <w:rPr>
          <w:rFonts w:ascii="Minion Pro" w:eastAsia="宋体" w:hAnsi="Minion Pro" w:cs="Times New Roman"/>
          <w:b/>
          <w:sz w:val="22"/>
          <w:lang w:bidi="ar"/>
        </w:rPr>
        <w:t xml:space="preserve"> </w:t>
      </w:r>
      <w:r w:rsidRPr="009D7F10">
        <w:rPr>
          <w:rFonts w:ascii="Minion Pro" w:eastAsia="宋体" w:hAnsi="Minion Pro" w:cs="Times New Roman"/>
          <w:sz w:val="22"/>
          <w:lang w:bidi="ar"/>
        </w:rPr>
        <w:t xml:space="preserve">(A) Cell proliferation was </w:t>
      </w:r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measured by Ki67 staining (Scale bar: 100 </w:t>
      </w:r>
      <w:proofErr w:type="spellStart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>μm</w:t>
      </w:r>
      <w:proofErr w:type="spellEnd"/>
      <w:r w:rsidRPr="009D7F10">
        <w:rPr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). </w:t>
      </w:r>
      <w:r w:rsidRPr="009D7F10">
        <w:rPr>
          <w:rFonts w:ascii="Minion Pro" w:eastAsia="TimesNewRoman" w:hAnsi="Minion Pro" w:cs="Times New Roman"/>
          <w:sz w:val="22"/>
          <w:lang w:bidi="ar"/>
        </w:rPr>
        <w:t>(B) IHC analysis of the N-Cadherin, E-Cadherin, and Vimentin in the DMSO group, mdivi-1 and IACS-010759+mdivi-1 group</w:t>
      </w:r>
      <w:r w:rsidRPr="009D7F10"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  <w:t>, *</w:t>
      </w:r>
      <w:r w:rsidRPr="009D7F10">
        <w:rPr>
          <w:rStyle w:val="CommentReference"/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  <w:t>&lt;0.05, **</w:t>
      </w:r>
      <w:r w:rsidRPr="009D7F10">
        <w:rPr>
          <w:rStyle w:val="CommentReference"/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&lt;0.01 (all </w:t>
      </w:r>
      <w:r w:rsidRPr="009D7F10">
        <w:rPr>
          <w:rStyle w:val="CommentReference"/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>p</w:t>
      </w:r>
      <w:r w:rsidRPr="009D7F10"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  <w:t xml:space="preserve"> values were obtained by two-sided Student’s </w:t>
      </w:r>
      <w:r w:rsidRPr="009D7F10">
        <w:rPr>
          <w:rStyle w:val="CommentReference"/>
          <w:rFonts w:ascii="Minion Pro" w:eastAsia="宋体" w:hAnsi="Minion Pro" w:cs="Times New Roman"/>
          <w:i/>
          <w:iCs/>
          <w:spacing w:val="5"/>
          <w:kern w:val="0"/>
          <w:sz w:val="22"/>
          <w:lang w:bidi="ar"/>
        </w:rPr>
        <w:t xml:space="preserve">t </w:t>
      </w:r>
      <w:r w:rsidRPr="009D7F10">
        <w:rPr>
          <w:rStyle w:val="CommentReference"/>
          <w:rFonts w:ascii="Minion Pro" w:eastAsia="宋体" w:hAnsi="Minion Pro" w:cs="Times New Roman"/>
          <w:spacing w:val="5"/>
          <w:kern w:val="0"/>
          <w:sz w:val="22"/>
          <w:lang w:bidi="ar"/>
        </w:rPr>
        <w:t>test).</w:t>
      </w:r>
    </w:p>
    <w:sectPr w:rsidR="005622CF" w:rsidRPr="009D7F10">
      <w:footerReference w:type="defaul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BF5258" w14:textId="77777777" w:rsidR="009C2481" w:rsidRDefault="009C2481">
      <w:r>
        <w:separator/>
      </w:r>
    </w:p>
  </w:endnote>
  <w:endnote w:type="continuationSeparator" w:id="0">
    <w:p w14:paraId="243F1557" w14:textId="77777777" w:rsidR="009C2481" w:rsidRDefault="009C2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imesNewRoman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3573967"/>
    </w:sdtPr>
    <w:sdtContent>
      <w:p w14:paraId="69F64EA2" w14:textId="77777777" w:rsidR="005622CF" w:rsidRDefault="0000000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93394BD" w14:textId="77777777" w:rsidR="005622CF" w:rsidRDefault="005622C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0EA336" w14:textId="77777777" w:rsidR="009C2481" w:rsidRDefault="009C2481">
      <w:r>
        <w:separator/>
      </w:r>
    </w:p>
  </w:footnote>
  <w:footnote w:type="continuationSeparator" w:id="0">
    <w:p w14:paraId="47941F55" w14:textId="77777777" w:rsidR="009C2481" w:rsidRDefault="009C24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multilevel"/>
    <w:tmpl w:val="18B468F5"/>
    <w:lvl w:ilvl="0">
      <w:start w:val="1"/>
      <w:numFmt w:val="bullet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multilevel"/>
    <w:tmpl w:val="1952085B"/>
    <w:lvl w:ilvl="0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multilevel"/>
    <w:tmpl w:val="70012E46"/>
    <w:lvl w:ilvl="0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multilevel"/>
    <w:tmpl w:val="76311A3B"/>
    <w:lvl w:ilvl="0">
      <w:start w:val="1"/>
      <w:numFmt w:val="decimal"/>
      <w:pStyle w:val="TSP37itemize"/>
      <w:lvlText w:val="%1."/>
      <w:lvlJc w:val="left"/>
      <w:pPr>
        <w:tabs>
          <w:tab w:val="left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4048" w:hanging="360"/>
      </w:pPr>
    </w:lvl>
    <w:lvl w:ilvl="2">
      <w:start w:val="1"/>
      <w:numFmt w:val="lowerRoman"/>
      <w:lvlText w:val="%3."/>
      <w:lvlJc w:val="right"/>
      <w:pPr>
        <w:ind w:left="4768" w:hanging="180"/>
      </w:pPr>
    </w:lvl>
    <w:lvl w:ilvl="3">
      <w:start w:val="1"/>
      <w:numFmt w:val="decimal"/>
      <w:lvlText w:val="%4."/>
      <w:lvlJc w:val="left"/>
      <w:pPr>
        <w:ind w:left="5488" w:hanging="360"/>
      </w:pPr>
    </w:lvl>
    <w:lvl w:ilvl="4">
      <w:start w:val="1"/>
      <w:numFmt w:val="lowerLetter"/>
      <w:lvlText w:val="%5."/>
      <w:lvlJc w:val="left"/>
      <w:pPr>
        <w:ind w:left="6208" w:hanging="360"/>
      </w:pPr>
    </w:lvl>
    <w:lvl w:ilvl="5">
      <w:start w:val="1"/>
      <w:numFmt w:val="lowerRoman"/>
      <w:lvlText w:val="%6."/>
      <w:lvlJc w:val="right"/>
      <w:pPr>
        <w:ind w:left="6928" w:hanging="180"/>
      </w:pPr>
    </w:lvl>
    <w:lvl w:ilvl="6">
      <w:start w:val="1"/>
      <w:numFmt w:val="decimal"/>
      <w:lvlText w:val="%7."/>
      <w:lvlJc w:val="left"/>
      <w:pPr>
        <w:ind w:left="7648" w:hanging="360"/>
      </w:pPr>
    </w:lvl>
    <w:lvl w:ilvl="7">
      <w:start w:val="1"/>
      <w:numFmt w:val="lowerLetter"/>
      <w:lvlText w:val="%8."/>
      <w:lvlJc w:val="left"/>
      <w:pPr>
        <w:ind w:left="8368" w:hanging="360"/>
      </w:pPr>
    </w:lvl>
    <w:lvl w:ilvl="8">
      <w:start w:val="1"/>
      <w:numFmt w:val="lowerRoman"/>
      <w:lvlText w:val="%9."/>
      <w:lvlJc w:val="right"/>
      <w:pPr>
        <w:ind w:left="9088" w:hanging="180"/>
      </w:pPr>
    </w:lvl>
  </w:abstractNum>
  <w:num w:numId="1" w16cid:durableId="94519016">
    <w:abstractNumId w:val="3"/>
  </w:num>
  <w:num w:numId="2" w16cid:durableId="1582905428">
    <w:abstractNumId w:val="0"/>
  </w:num>
  <w:num w:numId="3" w16cid:durableId="1046102272">
    <w:abstractNumId w:val="1"/>
  </w:num>
  <w:num w:numId="4" w16cid:durableId="16075358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drawingGridHorizontalSpacing w:val="105"/>
  <w:drawingGridVerticalSpacing w:val="15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7BFA"/>
    <w:rsid w:val="000C1CDB"/>
    <w:rsid w:val="000E4BA8"/>
    <w:rsid w:val="00167D48"/>
    <w:rsid w:val="00315C91"/>
    <w:rsid w:val="00425DE1"/>
    <w:rsid w:val="0042613F"/>
    <w:rsid w:val="005258B8"/>
    <w:rsid w:val="005622CF"/>
    <w:rsid w:val="005C0944"/>
    <w:rsid w:val="005D3467"/>
    <w:rsid w:val="00621EEC"/>
    <w:rsid w:val="00714041"/>
    <w:rsid w:val="007327FE"/>
    <w:rsid w:val="007D2656"/>
    <w:rsid w:val="008A305C"/>
    <w:rsid w:val="00937749"/>
    <w:rsid w:val="00950F72"/>
    <w:rsid w:val="00952D5C"/>
    <w:rsid w:val="009C2481"/>
    <w:rsid w:val="009D7F10"/>
    <w:rsid w:val="00AD7AA5"/>
    <w:rsid w:val="00C25F5D"/>
    <w:rsid w:val="00D14399"/>
    <w:rsid w:val="00D25790"/>
    <w:rsid w:val="00D30F0B"/>
    <w:rsid w:val="00DE58B5"/>
    <w:rsid w:val="00E43258"/>
    <w:rsid w:val="00F47BFA"/>
    <w:rsid w:val="00FA2A62"/>
    <w:rsid w:val="279C5CB3"/>
    <w:rsid w:val="50120DEA"/>
    <w:rsid w:val="504344F0"/>
    <w:rsid w:val="5B68130F"/>
    <w:rsid w:val="70396005"/>
    <w:rsid w:val="71635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05D75B"/>
  <w15:docId w15:val="{FBD42E82-F7C0-4DE1-86FA-20021B273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uiPriority="0" w:qFormat="1"/>
    <w:lsdException w:name="header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qFormat="1"/>
    <w:lsdException w:name="page number" w:uiPriority="0" w:qFormat="1"/>
    <w:lsdException w:name="endnote reference" w:uiPriority="0" w:qFormat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eastAsiaTheme="minorEastAsia"/>
      <w:kern w:val="2"/>
      <w:sz w:val="21"/>
      <w:szCs w:val="22"/>
    </w:rPr>
  </w:style>
  <w:style w:type="paragraph" w:styleId="Heading1">
    <w:name w:val="heading 1"/>
    <w:basedOn w:val="Normal"/>
    <w:next w:val="Normal"/>
    <w:link w:val="Heading1Char"/>
    <w:qFormat/>
    <w:pPr>
      <w:widowControl/>
      <w:spacing w:before="240" w:line="280" w:lineRule="atLeast"/>
      <w:outlineLvl w:val="0"/>
    </w:pPr>
    <w:rPr>
      <w:rFonts w:ascii="Arial" w:hAnsi="Arial" w:cs="Times New Roman"/>
      <w:b/>
      <w:color w:val="000000"/>
      <w:kern w:val="0"/>
      <w:sz w:val="20"/>
      <w:szCs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pPr>
      <w:widowControl/>
      <w:spacing w:before="120" w:line="280" w:lineRule="atLeast"/>
      <w:outlineLvl w:val="1"/>
    </w:pPr>
    <w:rPr>
      <w:rFonts w:ascii="Arial" w:hAnsi="Arial" w:cstheme="majorBidi"/>
      <w:b/>
      <w:color w:val="000000"/>
      <w:kern w:val="0"/>
      <w:sz w:val="20"/>
      <w:szCs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pPr>
      <w:widowControl/>
      <w:spacing w:line="280" w:lineRule="atLeast"/>
      <w:ind w:left="360"/>
      <w:outlineLvl w:val="2"/>
    </w:pPr>
    <w:rPr>
      <w:rFonts w:ascii="Palatino Linotype" w:hAnsi="Palatino Linotype" w:cs="Times New Roman"/>
      <w:b/>
      <w:color w:val="000000"/>
      <w:kern w:val="0"/>
      <w:sz w:val="20"/>
      <w:szCs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pPr>
      <w:keepNext/>
      <w:keepLines/>
      <w:widowControl/>
      <w:spacing w:before="240" w:line="480" w:lineRule="atLeast"/>
      <w:ind w:left="907" w:hanging="907"/>
      <w:outlineLvl w:val="3"/>
    </w:pPr>
    <w:rPr>
      <w:rFonts w:ascii="Arial" w:hAnsi="Arial" w:cstheme="majorBidi"/>
      <w:b/>
      <w:color w:val="000000"/>
      <w:kern w:val="0"/>
      <w:sz w:val="20"/>
      <w:szCs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pPr>
      <w:widowControl/>
      <w:spacing w:line="280" w:lineRule="atLeast"/>
      <w:ind w:left="706"/>
      <w:outlineLvl w:val="4"/>
    </w:pPr>
    <w:rPr>
      <w:rFonts w:ascii="Palatino Linotype" w:hAnsi="Palatino Linotype" w:cs="Times New Roman"/>
      <w:b/>
      <w:color w:val="000000"/>
      <w:kern w:val="0"/>
      <w:sz w:val="20"/>
      <w:szCs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pPr>
      <w:widowControl/>
      <w:spacing w:line="280" w:lineRule="atLeast"/>
      <w:ind w:left="706"/>
      <w:outlineLvl w:val="5"/>
    </w:pPr>
    <w:rPr>
      <w:rFonts w:ascii="Palatino Linotype" w:hAnsi="Palatino Linotype" w:cstheme="majorBidi"/>
      <w:color w:val="000000"/>
      <w:kern w:val="0"/>
      <w:sz w:val="20"/>
      <w:szCs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pPr>
      <w:widowControl/>
      <w:spacing w:line="280" w:lineRule="atLeast"/>
      <w:ind w:left="706"/>
      <w:outlineLvl w:val="6"/>
    </w:pPr>
    <w:rPr>
      <w:rFonts w:ascii="Palatino Linotype" w:hAnsi="Palatino Linotype" w:cs="Times New Roman"/>
      <w:i/>
      <w:color w:val="000000"/>
      <w:kern w:val="0"/>
      <w:sz w:val="20"/>
      <w:szCs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pPr>
      <w:widowControl/>
      <w:spacing w:line="280" w:lineRule="atLeast"/>
      <w:ind w:left="706"/>
      <w:outlineLvl w:val="7"/>
    </w:pPr>
    <w:rPr>
      <w:rFonts w:ascii="Palatino Linotype" w:hAnsi="Palatino Linotype" w:cstheme="majorBidi"/>
      <w:i/>
      <w:color w:val="000000"/>
      <w:kern w:val="0"/>
      <w:sz w:val="20"/>
      <w:szCs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pPr>
      <w:widowControl/>
      <w:spacing w:line="280" w:lineRule="atLeast"/>
      <w:ind w:left="706"/>
      <w:outlineLvl w:val="8"/>
    </w:pPr>
    <w:rPr>
      <w:rFonts w:ascii="Palatino Linotype" w:hAnsi="Palatino Linotype" w:cstheme="majorBidi"/>
      <w:i/>
      <w:color w:val="000000"/>
      <w:kern w:val="0"/>
      <w:sz w:val="20"/>
      <w:szCs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qFormat/>
    <w:pPr>
      <w:widowControl/>
      <w:adjustRightInd w:val="0"/>
      <w:snapToGrid w:val="0"/>
      <w:spacing w:line="240" w:lineRule="atLeast"/>
    </w:pPr>
    <w:rPr>
      <w:rFonts w:ascii="Minion Pro" w:eastAsia="宋体" w:hAnsi="Minion Pro" w:cs="Times New Roman"/>
      <w:color w:val="000000"/>
      <w:kern w:val="0"/>
      <w:sz w:val="22"/>
      <w:szCs w:val="20"/>
    </w:rPr>
  </w:style>
  <w:style w:type="paragraph" w:styleId="BodyText">
    <w:name w:val="Body Text"/>
    <w:link w:val="BodyTextChar"/>
    <w:qFormat/>
    <w:pPr>
      <w:spacing w:after="120" w:line="340" w:lineRule="atLeast"/>
      <w:jc w:val="both"/>
    </w:pPr>
    <w:rPr>
      <w:rFonts w:ascii="Minion Pro" w:hAnsi="Minion Pro" w:cs="Times New Roman"/>
      <w:color w:val="000000"/>
      <w:sz w:val="24"/>
      <w:lang w:eastAsia="de-DE"/>
    </w:rPr>
  </w:style>
  <w:style w:type="paragraph" w:styleId="EndnoteText">
    <w:name w:val="endnote text"/>
    <w:basedOn w:val="Normal"/>
    <w:link w:val="EndnoteTextChar"/>
    <w:semiHidden/>
    <w:unhideWhenUsed/>
    <w:qFormat/>
    <w:pPr>
      <w:widowControl/>
      <w:adjustRightInd w:val="0"/>
      <w:snapToGrid w:val="0"/>
    </w:pPr>
    <w:rPr>
      <w:rFonts w:ascii="Minion Pro" w:eastAsia="宋体" w:hAnsi="Minion Pro" w:cs="Times New Roman"/>
      <w:color w:val="000000"/>
      <w:kern w:val="0"/>
      <w:sz w:val="22"/>
      <w:szCs w:val="20"/>
    </w:rPr>
  </w:style>
  <w:style w:type="paragraph" w:styleId="BalloonText">
    <w:name w:val="Balloon Text"/>
    <w:basedOn w:val="Normal"/>
    <w:link w:val="BalloonTextChar"/>
    <w:uiPriority w:val="99"/>
    <w:qFormat/>
    <w:pPr>
      <w:widowControl/>
      <w:adjustRightInd w:val="0"/>
      <w:snapToGrid w:val="0"/>
      <w:spacing w:line="240" w:lineRule="atLeast"/>
    </w:pPr>
    <w:rPr>
      <w:rFonts w:ascii="Minion Pro" w:eastAsia="宋体" w:hAnsi="Minion Pro" w:cs="Tahoma"/>
      <w:color w:val="000000"/>
      <w:kern w:val="0"/>
      <w:sz w:val="22"/>
      <w:szCs w:val="18"/>
    </w:rPr>
  </w:style>
  <w:style w:type="paragraph" w:styleId="Footer">
    <w:name w:val="footer"/>
    <w:basedOn w:val="Normal"/>
    <w:link w:val="FooterChar"/>
    <w:uiPriority w:val="99"/>
    <w:qFormat/>
    <w:pPr>
      <w:widowControl/>
      <w:tabs>
        <w:tab w:val="center" w:pos="4153"/>
        <w:tab w:val="right" w:pos="8306"/>
      </w:tabs>
      <w:adjustRightInd w:val="0"/>
      <w:snapToGrid w:val="0"/>
      <w:spacing w:line="240" w:lineRule="atLeast"/>
      <w:jc w:val="left"/>
    </w:pPr>
    <w:rPr>
      <w:rFonts w:ascii="Minion Pro" w:eastAsia="宋体" w:hAnsi="Minion Pro" w:cs="Times New Roman"/>
      <w:color w:val="000000"/>
      <w:kern w:val="0"/>
      <w:sz w:val="22"/>
      <w:szCs w:val="18"/>
    </w:rPr>
  </w:style>
  <w:style w:type="paragraph" w:styleId="Header">
    <w:name w:val="header"/>
    <w:basedOn w:val="Normal"/>
    <w:link w:val="HeaderChar"/>
    <w:uiPriority w:val="99"/>
    <w:qFormat/>
    <w:pPr>
      <w:widowControl/>
      <w:pBdr>
        <w:bottom w:val="single" w:sz="6" w:space="1" w:color="auto"/>
      </w:pBdr>
      <w:tabs>
        <w:tab w:val="center" w:pos="4153"/>
        <w:tab w:val="right" w:pos="8306"/>
      </w:tabs>
      <w:adjustRightInd w:val="0"/>
      <w:snapToGrid w:val="0"/>
      <w:spacing w:line="240" w:lineRule="atLeast"/>
      <w:jc w:val="center"/>
    </w:pPr>
    <w:rPr>
      <w:rFonts w:ascii="Minion Pro" w:eastAsia="宋体" w:hAnsi="Minion Pro" w:cs="Times New Roman"/>
      <w:color w:val="000000"/>
      <w:kern w:val="0"/>
      <w:sz w:val="22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widowControl/>
      <w:adjustRightInd w:val="0"/>
      <w:snapToGrid w:val="0"/>
      <w:spacing w:after="160" w:line="240" w:lineRule="atLeast"/>
      <w:ind w:firstLine="425"/>
    </w:pPr>
    <w:rPr>
      <w:rFonts w:eastAsiaTheme="majorEastAsia" w:cstheme="majorBidi"/>
      <w:color w:val="595959" w:themeColor="text1" w:themeTint="A6"/>
      <w:spacing w:val="15"/>
      <w:kern w:val="0"/>
      <w:sz w:val="28"/>
      <w:szCs w:val="28"/>
    </w:rPr>
  </w:style>
  <w:style w:type="paragraph" w:styleId="FootnoteText">
    <w:name w:val="footnote text"/>
    <w:basedOn w:val="Normal"/>
    <w:link w:val="FootnoteTextChar"/>
    <w:semiHidden/>
    <w:unhideWhenUsed/>
    <w:qFormat/>
    <w:pPr>
      <w:widowControl/>
      <w:adjustRightInd w:val="0"/>
      <w:snapToGrid w:val="0"/>
    </w:pPr>
    <w:rPr>
      <w:rFonts w:ascii="Minion Pro" w:eastAsia="宋体" w:hAnsi="Minion Pro" w:cs="Times New Roman"/>
      <w:color w:val="000000"/>
      <w:kern w:val="0"/>
      <w:sz w:val="22"/>
      <w:szCs w:val="20"/>
    </w:rPr>
  </w:style>
  <w:style w:type="paragraph" w:styleId="NormalWeb">
    <w:name w:val="Normal (Web)"/>
    <w:basedOn w:val="Normal"/>
    <w:uiPriority w:val="99"/>
    <w:qFormat/>
    <w:pPr>
      <w:widowControl/>
      <w:adjustRightInd w:val="0"/>
      <w:snapToGrid w:val="0"/>
      <w:spacing w:line="240" w:lineRule="atLeast"/>
    </w:pPr>
    <w:rPr>
      <w:rFonts w:ascii="Minion Pro" w:eastAsia="宋体" w:hAnsi="Minion Pro" w:cs="Times New Roman"/>
      <w:color w:val="000000"/>
      <w:kern w:val="0"/>
      <w:sz w:val="22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pPr>
      <w:widowControl/>
      <w:adjustRightInd w:val="0"/>
      <w:snapToGrid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59"/>
    <w:qFormat/>
    <w:pPr>
      <w:spacing w:line="260" w:lineRule="atLeast"/>
      <w:jc w:val="both"/>
    </w:pPr>
    <w:rPr>
      <w:rFonts w:ascii="Minion Pro" w:hAnsi="Minion Pro" w:cs="Times New Roman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dnoteReference">
    <w:name w:val="endnote reference"/>
    <w:qFormat/>
    <w:rPr>
      <w:vertAlign w:val="superscript"/>
    </w:rPr>
  </w:style>
  <w:style w:type="character" w:styleId="PageNumber">
    <w:name w:val="page number"/>
    <w:qFormat/>
    <w:rPr>
      <w:rFonts w:ascii="Minion Pro" w:hAnsi="Minion Pro"/>
      <w:sz w:val="20"/>
    </w:rPr>
  </w:style>
  <w:style w:type="character" w:styleId="FollowedHyperlink">
    <w:name w:val="FollowedHyperlink"/>
    <w:qFormat/>
    <w:rPr>
      <w:color w:val="954F72"/>
      <w:u w:val="single"/>
    </w:rPr>
  </w:style>
  <w:style w:type="character" w:styleId="LineNumber">
    <w:name w:val="line number"/>
    <w:uiPriority w:val="99"/>
    <w:qFormat/>
    <w:rPr>
      <w:rFonts w:ascii="Minion Pro" w:hAnsi="Minion Pro"/>
      <w:sz w:val="16"/>
    </w:rPr>
  </w:style>
  <w:style w:type="character" w:styleId="Hyperlink">
    <w:name w:val="Hyperlink"/>
    <w:uiPriority w:val="99"/>
    <w:qFormat/>
    <w:rPr>
      <w:color w:val="2F5496" w:themeColor="accent1" w:themeShade="BF"/>
      <w:u w:val="single"/>
    </w:rPr>
  </w:style>
  <w:style w:type="character" w:styleId="CommentReference">
    <w:name w:val="annotation reference"/>
    <w:uiPriority w:val="99"/>
    <w:qFormat/>
    <w:rPr>
      <w:sz w:val="21"/>
      <w:szCs w:val="21"/>
    </w:rPr>
  </w:style>
  <w:style w:type="character" w:customStyle="1" w:styleId="apple-converted-space">
    <w:name w:val="apple-converted-space"/>
    <w:basedOn w:val="DefaultParagraphFont"/>
    <w:qFormat/>
  </w:style>
  <w:style w:type="character" w:customStyle="1" w:styleId="BalloonTextChar">
    <w:name w:val="Balloon Text Char"/>
    <w:link w:val="BalloonText"/>
    <w:uiPriority w:val="99"/>
    <w:qFormat/>
    <w:rPr>
      <w:rFonts w:ascii="Minion Pro" w:eastAsia="宋体" w:hAnsi="Minion Pro" w:cs="Tahoma"/>
      <w:color w:val="000000"/>
      <w:kern w:val="0"/>
      <w:sz w:val="22"/>
      <w:szCs w:val="18"/>
      <w14:ligatures w14:val="none"/>
    </w:rPr>
  </w:style>
  <w:style w:type="paragraph" w:customStyle="1" w:styleId="Bibliography1">
    <w:name w:val="Bibliography1"/>
    <w:basedOn w:val="Normal"/>
    <w:next w:val="Normal"/>
    <w:uiPriority w:val="37"/>
    <w:semiHidden/>
    <w:unhideWhenUsed/>
    <w:qFormat/>
    <w:pPr>
      <w:widowControl/>
      <w:adjustRightInd w:val="0"/>
      <w:snapToGrid w:val="0"/>
      <w:spacing w:line="240" w:lineRule="atLeast"/>
    </w:pPr>
    <w:rPr>
      <w:rFonts w:ascii="Minion Pro" w:eastAsia="宋体" w:hAnsi="Minion Pro" w:cs="Times New Roman"/>
      <w:color w:val="000000"/>
      <w:kern w:val="0"/>
      <w:sz w:val="22"/>
      <w:szCs w:val="20"/>
    </w:rPr>
  </w:style>
  <w:style w:type="character" w:customStyle="1" w:styleId="BodyTextChar">
    <w:name w:val="Body Text Char"/>
    <w:link w:val="BodyText"/>
    <w:qFormat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CommentTextChar">
    <w:name w:val="Comment Text Char"/>
    <w:link w:val="CommentText"/>
    <w:qFormat/>
    <w:rPr>
      <w:rFonts w:ascii="Minion Pro" w:eastAsia="宋体" w:hAnsi="Minion Pro" w:cs="Times New Roman"/>
      <w:color w:val="000000"/>
      <w:kern w:val="0"/>
      <w:sz w:val="22"/>
      <w:szCs w:val="20"/>
      <w14:ligatures w14:val="none"/>
    </w:rPr>
  </w:style>
  <w:style w:type="character" w:customStyle="1" w:styleId="CommentSubjectChar">
    <w:name w:val="Comment Subject Char"/>
    <w:link w:val="CommentSubject"/>
    <w:qFormat/>
    <w:rPr>
      <w:rFonts w:ascii="Minion Pro" w:eastAsia="宋体" w:hAnsi="Minion Pro" w:cs="Times New Roman"/>
      <w:b/>
      <w:bCs/>
      <w:color w:val="000000"/>
      <w:kern w:val="0"/>
      <w:sz w:val="22"/>
      <w:szCs w:val="20"/>
      <w14:ligatures w14:val="none"/>
    </w:rPr>
  </w:style>
  <w:style w:type="character" w:customStyle="1" w:styleId="EndnoteTextChar">
    <w:name w:val="Endnote Text Char"/>
    <w:link w:val="EndnoteText"/>
    <w:semiHidden/>
    <w:qFormat/>
    <w:rPr>
      <w:rFonts w:ascii="Minion Pro" w:eastAsia="宋体" w:hAnsi="Minion Pro" w:cs="Times New Roman"/>
      <w:color w:val="000000"/>
      <w:kern w:val="0"/>
      <w:sz w:val="22"/>
      <w:szCs w:val="20"/>
      <w14:ligatures w14:val="none"/>
    </w:rPr>
  </w:style>
  <w:style w:type="character" w:customStyle="1" w:styleId="FooterChar">
    <w:name w:val="Footer Char"/>
    <w:link w:val="Footer"/>
    <w:uiPriority w:val="99"/>
    <w:qFormat/>
    <w:rPr>
      <w:rFonts w:ascii="Minion Pro" w:eastAsia="宋体" w:hAnsi="Minion Pro" w:cs="Times New Roman"/>
      <w:color w:val="000000"/>
      <w:kern w:val="0"/>
      <w:sz w:val="22"/>
      <w:szCs w:val="18"/>
      <w14:ligatures w14:val="none"/>
    </w:rPr>
  </w:style>
  <w:style w:type="character" w:customStyle="1" w:styleId="FootnoteTextChar">
    <w:name w:val="Footnote Text Char"/>
    <w:link w:val="FootnoteText"/>
    <w:semiHidden/>
    <w:qFormat/>
    <w:rPr>
      <w:rFonts w:ascii="Minion Pro" w:eastAsia="宋体" w:hAnsi="Minion Pro" w:cs="Times New Roman"/>
      <w:color w:val="000000"/>
      <w:kern w:val="0"/>
      <w:sz w:val="22"/>
      <w:szCs w:val="20"/>
      <w14:ligatures w14:val="none"/>
    </w:rPr>
  </w:style>
  <w:style w:type="character" w:customStyle="1" w:styleId="HeaderChar">
    <w:name w:val="Header Char"/>
    <w:link w:val="Header"/>
    <w:uiPriority w:val="99"/>
    <w:qFormat/>
    <w:rPr>
      <w:rFonts w:ascii="Minion Pro" w:eastAsia="宋体" w:hAnsi="Minion Pro" w:cs="Times New Roman"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basedOn w:val="DefaultParagraphFont"/>
    <w:link w:val="Heading1"/>
    <w:qFormat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qFormat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qFormat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qFormat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qFormat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qFormat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qFormat/>
    <w:rPr>
      <w:rFonts w:ascii="Palatino Linotype" w:hAnsi="Palatino Linotype" w:cstheme="majorBidi"/>
      <w:i/>
      <w:color w:val="000000"/>
      <w:kern w:val="0"/>
      <w:sz w:val="20"/>
      <w:szCs w:val="20"/>
    </w:rPr>
  </w:style>
  <w:style w:type="paragraph" w:customStyle="1" w:styleId="TSP10doinum">
    <w:name w:val="TSP_1.0_doinum"/>
    <w:basedOn w:val="Normal"/>
    <w:qFormat/>
    <w:pPr>
      <w:widowControl/>
      <w:adjustRightInd w:val="0"/>
      <w:snapToGrid w:val="0"/>
      <w:spacing w:after="240"/>
      <w:jc w:val="left"/>
    </w:pPr>
    <w:rPr>
      <w:rFonts w:ascii="Minion Pro" w:hAnsi="Minion Pro" w:cs="Times New Roman"/>
      <w:color w:val="000000"/>
      <w:sz w:val="14"/>
      <w:szCs w:val="20"/>
      <w14:ligatures w14:val="standardContextual"/>
    </w:rPr>
  </w:style>
  <w:style w:type="paragraph" w:customStyle="1" w:styleId="TSP11articletype">
    <w:name w:val="TSP_1.1_article_type"/>
    <w:next w:val="Normal"/>
    <w:qFormat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2title">
    <w:name w:val="TSP_1.2_title"/>
    <w:next w:val="Normal"/>
    <w:qFormat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pPr>
      <w:widowControl/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DE" w:bidi="en-US"/>
    </w:rPr>
  </w:style>
  <w:style w:type="paragraph" w:customStyle="1" w:styleId="TSP15academiceditor">
    <w:name w:val="TSP_1.5_academic_editor"/>
    <w:qFormat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szCs w:val="22"/>
      <w:lang w:eastAsia="de-DE" w:bidi="en-US"/>
    </w:rPr>
  </w:style>
  <w:style w:type="paragraph" w:customStyle="1" w:styleId="TSP18keywords">
    <w:name w:val="TSP_1.8_keywords"/>
    <w:next w:val="Normal"/>
    <w:qFormat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pPr>
      <w:spacing w:before="240" w:line="240" w:lineRule="atLeast"/>
      <w:jc w:val="both"/>
    </w:pPr>
    <w:rPr>
      <w:rFonts w:ascii="Minion Pro" w:eastAsia="Times New Roman" w:hAnsi="Minion Pro" w:cs="Times New Roman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24heading4">
    <w:name w:val="TSP_2.4_heading4"/>
    <w:basedOn w:val="TSP23heading3"/>
    <w:qFormat/>
    <w:pPr>
      <w:outlineLvl w:val="3"/>
    </w:pPr>
    <w:rPr>
      <w:i w:val="0"/>
    </w:rPr>
  </w:style>
  <w:style w:type="paragraph" w:customStyle="1" w:styleId="TSP31text">
    <w:name w:val="TSP_3.1_text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pPr>
      <w:ind w:firstLine="0"/>
    </w:pPr>
  </w:style>
  <w:style w:type="paragraph" w:customStyle="1" w:styleId="TSP33textspaceafter">
    <w:name w:val="TSP_3.3_text_space_after"/>
    <w:qFormat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pPr>
      <w:numPr>
        <w:numId w:val="2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color w:val="000000"/>
      <w:szCs w:val="22"/>
      <w:lang w:bidi="en-US"/>
    </w:rPr>
  </w:style>
  <w:style w:type="paragraph" w:customStyle="1" w:styleId="TSP41tablecaption">
    <w:name w:val="TSP_4.1_table_caption"/>
    <w:qFormat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pPr>
      <w:adjustRightInd w:val="0"/>
      <w:snapToGrid w:val="0"/>
      <w:spacing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color w:val="000000"/>
      <w:lang w:bidi="en-US"/>
    </w:rPr>
  </w:style>
  <w:style w:type="paragraph" w:customStyle="1" w:styleId="TSP51figurecaption">
    <w:name w:val="TSP_5.1_figure_caption"/>
    <w:qFormat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lang w:eastAsia="de-DE" w:bidi="en-US"/>
    </w:rPr>
  </w:style>
  <w:style w:type="paragraph" w:customStyle="1" w:styleId="TSP52figure">
    <w:name w:val="TSP_5.2_figure"/>
    <w:qFormat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paragraph" w:customStyle="1" w:styleId="TSP61Citation">
    <w:name w:val="TSP_6.1_Citation"/>
    <w:qFormat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paragraph" w:customStyle="1" w:styleId="TSP62BackMatter">
    <w:name w:val="TSP_6.2_BackMatter"/>
    <w:qFormat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lang w:eastAsia="en-US" w:bidi="en-US"/>
    </w:rPr>
  </w:style>
  <w:style w:type="paragraph" w:customStyle="1" w:styleId="TSP63Notes">
    <w:name w:val="TSP_6.3_Notes"/>
    <w:qFormat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color w:val="000000"/>
      <w:sz w:val="18"/>
    </w:rPr>
  </w:style>
  <w:style w:type="paragraph" w:customStyle="1" w:styleId="TSP71References">
    <w:name w:val="TSP_7.1_References"/>
    <w:qFormat/>
    <w:pPr>
      <w:numPr>
        <w:numId w:val="4"/>
      </w:numPr>
      <w:adjustRightInd w:val="0"/>
      <w:snapToGrid w:val="0"/>
      <w:spacing w:line="228" w:lineRule="auto"/>
      <w:jc w:val="both"/>
    </w:pPr>
    <w:rPr>
      <w:rFonts w:ascii="Minion Pro" w:eastAsia="等线" w:hAnsi="Minion Pro" w:cs="Times New Roman"/>
      <w:color w:val="000000"/>
      <w:lang w:eastAsia="de-DE" w:bidi="en-US"/>
    </w:rPr>
  </w:style>
  <w:style w:type="paragraph" w:customStyle="1" w:styleId="TSP72Copyright">
    <w:name w:val="TSP_7.2_Copyright"/>
    <w:qFormat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pPr>
      <w:adjustRightInd w:val="0"/>
      <w:snapToGrid w:val="0"/>
      <w:spacing w:before="20" w:line="228" w:lineRule="auto"/>
    </w:pPr>
    <w:rPr>
      <w:rFonts w:ascii="Minion Pro" w:eastAsia="Times New Roman" w:hAnsi="Minion Pro" w:cs="Times New Roman"/>
      <w:color w:val="000000"/>
      <w:sz w:val="18"/>
      <w:lang w:eastAsia="de-CH"/>
    </w:rPr>
  </w:style>
  <w:style w:type="paragraph" w:customStyle="1" w:styleId="TSP81theorem">
    <w:name w:val="TSP_8.1_theorem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pPr>
      <w:adjustRightInd w:val="0"/>
      <w:snapToGrid w:val="0"/>
      <w:spacing w:before="120" w:after="120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footerfirstpage">
    <w:name w:val="TSP_footer_firstpage"/>
    <w:qFormat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header">
    <w:name w:val="TSP_header"/>
    <w:qFormat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pPr>
      <w:spacing w:line="228" w:lineRule="auto"/>
    </w:pPr>
    <w:rPr>
      <w:rFonts w:ascii="Minion Pro" w:eastAsia="Times New Roman" w:hAnsi="Minion Pro" w:cs="Times New Roman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pPr>
      <w:adjustRightInd w:val="0"/>
      <w:snapToGrid w:val="0"/>
      <w:spacing w:line="240" w:lineRule="atLeast"/>
      <w:jc w:val="right"/>
    </w:pPr>
    <w:rPr>
      <w:rFonts w:ascii="Minion Pro" w:eastAsia="Times New Roman" w:hAnsi="Minion Pro" w:cs="Times New Roman"/>
      <w:color w:val="000000"/>
      <w:sz w:val="22"/>
      <w:szCs w:val="22"/>
      <w:lang w:eastAsia="de-CH"/>
    </w:rPr>
  </w:style>
  <w:style w:type="paragraph" w:customStyle="1" w:styleId="TSPtext">
    <w:name w:val="TSP_text"/>
    <w:qFormat/>
    <w:pPr>
      <w:snapToGrid w:val="0"/>
      <w:spacing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MsoFootnoteText0">
    <w:name w:val="MsoFootnoteText"/>
    <w:basedOn w:val="NormalWeb"/>
    <w:qFormat/>
    <w:pPr>
      <w:adjustRightInd/>
      <w:snapToGrid/>
      <w:spacing w:line="280" w:lineRule="atLeast"/>
    </w:pPr>
    <w:rPr>
      <w:rFonts w:ascii="Times New Roman" w:hAnsi="Times New Roman"/>
      <w:sz w:val="20"/>
    </w:rPr>
  </w:style>
  <w:style w:type="character" w:styleId="PlaceholderText">
    <w:name w:val="Placeholder Text"/>
    <w:uiPriority w:val="99"/>
    <w:semiHidden/>
    <w:qFormat/>
    <w:rPr>
      <w:color w:val="808080"/>
    </w:rPr>
  </w:style>
  <w:style w:type="paragraph" w:styleId="ListParagraph">
    <w:name w:val="List Paragraph"/>
    <w:basedOn w:val="Normal"/>
    <w:uiPriority w:val="34"/>
    <w:qFormat/>
    <w:pPr>
      <w:widowControl/>
      <w:spacing w:line="280" w:lineRule="atLeast"/>
      <w:ind w:firstLineChars="200" w:firstLine="420"/>
    </w:pPr>
    <w:rPr>
      <w:rFonts w:ascii="Minion Pro" w:hAnsi="Minion Pro" w:cs="Times New Roman"/>
      <w:color w:val="000000"/>
      <w:kern w:val="0"/>
      <w:sz w:val="22"/>
      <w:szCs w:val="20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pPr>
      <w:widowControl/>
      <w:adjustRightInd w:val="0"/>
      <w:snapToGrid w:val="0"/>
      <w:spacing w:before="160" w:after="160" w:line="240" w:lineRule="atLeast"/>
      <w:jc w:val="center"/>
    </w:pPr>
    <w:rPr>
      <w:rFonts w:ascii="Minion Pro" w:eastAsia="宋体" w:hAnsi="Minion Pro" w:cs="Times New Roman"/>
      <w:i/>
      <w:iCs/>
      <w:color w:val="404040" w:themeColor="text1" w:themeTint="BF"/>
      <w:kern w:val="0"/>
      <w:sz w:val="22"/>
      <w:szCs w:val="20"/>
    </w:rPr>
  </w:style>
  <w:style w:type="character" w:customStyle="1" w:styleId="QuoteChar">
    <w:name w:val="Quote Char"/>
    <w:basedOn w:val="DefaultParagraphFont"/>
    <w:link w:val="Quote"/>
    <w:uiPriority w:val="29"/>
    <w:qFormat/>
    <w:rPr>
      <w:rFonts w:ascii="Minion Pro" w:hAnsi="Minion Pro" w:cs="Times New Roman"/>
      <w:i/>
      <w:iCs/>
      <w:color w:val="404040" w:themeColor="text1" w:themeTint="BF"/>
      <w:kern w:val="0"/>
      <w:sz w:val="22"/>
      <w:szCs w:val="20"/>
      <w14:ligatures w14:val="none"/>
    </w:r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widowControl/>
      <w:pBdr>
        <w:top w:val="single" w:sz="4" w:space="10" w:color="2F5496" w:themeColor="accent1" w:themeShade="BF"/>
        <w:bottom w:val="single" w:sz="4" w:space="10" w:color="2F5496" w:themeColor="accent1" w:themeShade="BF"/>
      </w:pBdr>
      <w:adjustRightInd w:val="0"/>
      <w:snapToGrid w:val="0"/>
      <w:spacing w:before="360" w:after="360" w:line="240" w:lineRule="atLeast"/>
      <w:ind w:left="864" w:right="864"/>
      <w:jc w:val="center"/>
    </w:pPr>
    <w:rPr>
      <w:rFonts w:ascii="Minion Pro" w:eastAsia="宋体" w:hAnsi="Minion Pro" w:cs="Times New Roman"/>
      <w:i/>
      <w:iCs/>
      <w:color w:val="2F5496" w:themeColor="accent1" w:themeShade="BF"/>
      <w:kern w:val="0"/>
      <w:sz w:val="22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rFonts w:ascii="Minion Pro" w:hAnsi="Minion Pro" w:cs="Times New Roman"/>
      <w:i/>
      <w:iCs/>
      <w:color w:val="2F5496" w:themeColor="accent1" w:themeShade="BF"/>
      <w:kern w:val="0"/>
      <w:sz w:val="22"/>
      <w:szCs w:val="20"/>
      <w14:ligatures w14:val="none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Revision">
    <w:name w:val="Revision"/>
    <w:hidden/>
    <w:uiPriority w:val="99"/>
    <w:unhideWhenUsed/>
    <w:rsid w:val="00621EEC"/>
    <w:rPr>
      <w:rFonts w:eastAsiaTheme="minorEastAsia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341</Words>
  <Characters>1944</Characters>
  <Application>Microsoft Office Word</Application>
  <DocSecurity>0</DocSecurity>
  <Lines>16</Lines>
  <Paragraphs>4</Paragraphs>
  <ScaleCrop>false</ScaleCrop>
  <Company/>
  <LinksUpToDate>false</LinksUpToDate>
  <CharactersWithSpaces>2281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Production Team</dc:creator>
  <cp:lastModifiedBy>Production Team</cp:lastModifiedBy>
  <cp:revision>6</cp:revision>
  <dcterms:created xsi:type="dcterms:W3CDTF">2026-04-15T09:17:00Z</dcterms:created>
  <dcterms:modified xsi:type="dcterms:W3CDTF">2026-05-04T07:18:00Z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3244ec15-950e-4d10-9a72-f00d9c9d836a</vt:lpwstr>
  </property>
  <property fmtid="{D5CDD505-2E9C-101B-9397-08002B2CF9AE}" pid="3" name="KSOTemplateDocerSaveRecord">
    <vt:lpwstr>eyJoZGlkIjoiOGM2NTIxY2ZhNGY5ZWJlMTQ1YjA4YjYxOWQ5MWZmOGYiLCJ1c2VySWQiOiI1OTQ2NzQ0OTEifQ==</vt:lpwstr>
  </property>
  <property fmtid="{D5CDD505-2E9C-101B-9397-08002B2CF9AE}" pid="4" name="KSOProductBuildVer">
    <vt:lpwstr>2052-12.1.0.25865</vt:lpwstr>
  </property>
  <property fmtid="{D5CDD505-2E9C-101B-9397-08002B2CF9AE}" pid="5" name="ICV">
    <vt:lpwstr>B9F4D393C11D4C269016C4FE4124A506_12</vt:lpwstr>
  </property>
</Properties>
</file>